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3A512C">
      <w:pPr>
        <w:jc w:val="center"/>
        <w:rPr>
          <w:rFonts w:hint="eastAsia" w:ascii="宋体" w:hAnsi="宋体" w:cs="宋体"/>
          <w:b/>
          <w:bCs/>
          <w:color w:val="000000"/>
          <w:kern w:val="0"/>
          <w:sz w:val="32"/>
          <w:szCs w:val="32"/>
          <w:lang w:bidi="ar"/>
        </w:rPr>
      </w:pPr>
      <w:r>
        <w:rPr>
          <w:rFonts w:hint="eastAsia" w:ascii="宋体" w:hAnsi="宋体" w:cs="宋体"/>
          <w:b/>
          <w:bCs/>
          <w:color w:val="000000"/>
          <w:kern w:val="0"/>
          <w:sz w:val="32"/>
          <w:szCs w:val="32"/>
          <w:lang w:bidi="ar"/>
        </w:rPr>
        <w:t>成都市第八人民医院</w:t>
      </w:r>
    </w:p>
    <w:p w14:paraId="3B2DEFA9">
      <w:pPr>
        <w:jc w:val="center"/>
        <w:rPr>
          <w:rFonts w:hint="eastAsia" w:ascii="宋体" w:hAnsi="宋体" w:cs="宋体"/>
          <w:b/>
          <w:bCs/>
          <w:color w:val="000000"/>
          <w:kern w:val="0"/>
          <w:sz w:val="28"/>
          <w:szCs w:val="28"/>
          <w:lang w:bidi="ar"/>
        </w:rPr>
      </w:pPr>
      <w:r>
        <w:rPr>
          <w:rFonts w:hint="eastAsia" w:ascii="宋体" w:hAnsi="宋体" w:cs="宋体"/>
          <w:b/>
          <w:bCs/>
          <w:color w:val="000000"/>
          <w:kern w:val="0"/>
          <w:sz w:val="28"/>
          <w:szCs w:val="28"/>
          <w:lang w:bidi="ar"/>
        </w:rPr>
        <w:t>需求申请单</w:t>
      </w:r>
    </w:p>
    <w:tbl>
      <w:tblPr>
        <w:tblStyle w:val="12"/>
        <w:tblW w:w="8943" w:type="dxa"/>
        <w:tblInd w:w="93" w:type="dxa"/>
        <w:tblLayout w:type="autofit"/>
        <w:tblCellMar>
          <w:top w:w="0" w:type="dxa"/>
          <w:left w:w="108" w:type="dxa"/>
          <w:bottom w:w="0" w:type="dxa"/>
          <w:right w:w="108" w:type="dxa"/>
        </w:tblCellMar>
      </w:tblPr>
      <w:tblGrid>
        <w:gridCol w:w="2822"/>
        <w:gridCol w:w="2891"/>
        <w:gridCol w:w="3230"/>
      </w:tblGrid>
      <w:tr w14:paraId="7EAFC6EA">
        <w:tblPrEx>
          <w:tblCellMar>
            <w:top w:w="0" w:type="dxa"/>
            <w:left w:w="108" w:type="dxa"/>
            <w:bottom w:w="0" w:type="dxa"/>
            <w:right w:w="108" w:type="dxa"/>
          </w:tblCellMar>
        </w:tblPrEx>
        <w:trPr>
          <w:trHeight w:val="1028" w:hRule="atLeast"/>
        </w:trPr>
        <w:tc>
          <w:tcPr>
            <w:tcW w:w="2822"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63D9EE2">
            <w:pPr>
              <w:widowControl/>
              <w:jc w:val="left"/>
              <w:textAlignment w:val="center"/>
              <w:rPr>
                <w:rFonts w:hint="eastAsia" w:ascii="宋体" w:hAnsi="宋体" w:cs="宋体"/>
                <w:color w:val="000000"/>
                <w:kern w:val="0"/>
                <w:sz w:val="28"/>
                <w:szCs w:val="28"/>
                <w:lang w:val="en-US" w:eastAsia="zh-CN" w:bidi="ar"/>
              </w:rPr>
            </w:pPr>
            <w:r>
              <w:rPr>
                <w:rFonts w:hint="eastAsia" w:ascii="宋体" w:hAnsi="宋体" w:cs="宋体"/>
                <w:color w:val="000000"/>
                <w:kern w:val="0"/>
                <w:sz w:val="28"/>
                <w:szCs w:val="28"/>
                <w:lang w:val="en-US" w:eastAsia="zh-CN" w:bidi="ar"/>
              </w:rPr>
              <w:t>申购部门: 财务部</w:t>
            </w:r>
          </w:p>
        </w:tc>
        <w:tc>
          <w:tcPr>
            <w:tcW w:w="289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F34E481">
            <w:pPr>
              <w:widowControl/>
              <w:jc w:val="left"/>
              <w:textAlignment w:val="center"/>
              <w:rPr>
                <w:rFonts w:hint="eastAsia" w:ascii="宋体" w:hAnsi="宋体" w:cs="宋体"/>
                <w:color w:val="000000"/>
                <w:kern w:val="0"/>
                <w:sz w:val="28"/>
                <w:szCs w:val="28"/>
                <w:lang w:val="en-US" w:eastAsia="zh-CN" w:bidi="ar"/>
              </w:rPr>
            </w:pPr>
            <w:r>
              <w:rPr>
                <w:rFonts w:hint="eastAsia" w:ascii="宋体" w:hAnsi="宋体" w:cs="宋体"/>
                <w:color w:val="000000"/>
                <w:kern w:val="0"/>
                <w:sz w:val="28"/>
                <w:szCs w:val="28"/>
                <w:lang w:val="en-US" w:eastAsia="zh-CN" w:bidi="ar"/>
              </w:rPr>
              <w:t>预估价：150000元</w:t>
            </w:r>
          </w:p>
        </w:tc>
        <w:tc>
          <w:tcPr>
            <w:tcW w:w="323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51AC840">
            <w:pPr>
              <w:widowControl/>
              <w:jc w:val="left"/>
              <w:textAlignment w:val="center"/>
              <w:rPr>
                <w:rFonts w:hint="eastAsia" w:ascii="宋体" w:hAnsi="宋体" w:cs="宋体"/>
                <w:color w:val="000000"/>
                <w:sz w:val="28"/>
                <w:szCs w:val="28"/>
              </w:rPr>
            </w:pPr>
            <w:r>
              <w:rPr>
                <w:rFonts w:hint="eastAsia" w:ascii="宋体" w:hAnsi="宋体" w:cs="宋体"/>
                <w:color w:val="000000"/>
                <w:kern w:val="0"/>
                <w:sz w:val="28"/>
                <w:szCs w:val="28"/>
                <w:lang w:bidi="ar"/>
              </w:rPr>
              <w:t>日期：202</w:t>
            </w:r>
            <w:r>
              <w:rPr>
                <w:rFonts w:hint="eastAsia" w:ascii="宋体" w:hAnsi="宋体" w:cs="宋体"/>
                <w:color w:val="000000"/>
                <w:kern w:val="0"/>
                <w:sz w:val="28"/>
                <w:szCs w:val="28"/>
                <w:lang w:val="en-US" w:eastAsia="zh-CN" w:bidi="ar"/>
              </w:rPr>
              <w:t>6</w:t>
            </w:r>
            <w:r>
              <w:rPr>
                <w:rFonts w:hint="eastAsia" w:ascii="宋体" w:hAnsi="宋体" w:cs="宋体"/>
                <w:color w:val="000000"/>
                <w:kern w:val="0"/>
                <w:sz w:val="28"/>
                <w:szCs w:val="28"/>
                <w:lang w:bidi="ar"/>
              </w:rPr>
              <w:t>年</w:t>
            </w:r>
            <w:r>
              <w:rPr>
                <w:rFonts w:hint="eastAsia" w:ascii="宋体" w:hAnsi="宋体" w:cs="宋体"/>
                <w:color w:val="000000"/>
                <w:kern w:val="0"/>
                <w:sz w:val="28"/>
                <w:szCs w:val="28"/>
                <w:lang w:val="en-US" w:eastAsia="zh-CN" w:bidi="ar"/>
              </w:rPr>
              <w:t>4</w:t>
            </w:r>
            <w:r>
              <w:rPr>
                <w:rFonts w:hint="eastAsia" w:ascii="宋体" w:hAnsi="宋体" w:cs="宋体"/>
                <w:color w:val="000000"/>
                <w:kern w:val="0"/>
                <w:sz w:val="28"/>
                <w:szCs w:val="28"/>
                <w:lang w:bidi="ar"/>
              </w:rPr>
              <w:t>月</w:t>
            </w:r>
            <w:r>
              <w:rPr>
                <w:rFonts w:hint="eastAsia" w:ascii="宋体" w:hAnsi="宋体" w:cs="宋体"/>
                <w:color w:val="000000"/>
                <w:kern w:val="0"/>
                <w:sz w:val="28"/>
                <w:szCs w:val="28"/>
                <w:lang w:val="en-US" w:eastAsia="zh-CN" w:bidi="ar"/>
              </w:rPr>
              <w:t>3</w:t>
            </w:r>
            <w:r>
              <w:rPr>
                <w:rFonts w:hint="eastAsia" w:ascii="宋体" w:hAnsi="宋体" w:cs="宋体"/>
                <w:color w:val="000000"/>
                <w:kern w:val="0"/>
                <w:sz w:val="28"/>
                <w:szCs w:val="28"/>
                <w:lang w:bidi="ar"/>
              </w:rPr>
              <w:t>日</w:t>
            </w:r>
          </w:p>
        </w:tc>
      </w:tr>
      <w:tr w14:paraId="69DA5C56">
        <w:tblPrEx>
          <w:tblCellMar>
            <w:top w:w="0" w:type="dxa"/>
            <w:left w:w="108" w:type="dxa"/>
            <w:bottom w:w="0" w:type="dxa"/>
            <w:right w:w="108" w:type="dxa"/>
          </w:tblCellMar>
        </w:tblPrEx>
        <w:trPr>
          <w:trHeight w:val="638" w:hRule="atLeast"/>
        </w:trPr>
        <w:tc>
          <w:tcPr>
            <w:tcW w:w="8943" w:type="dxa"/>
            <w:gridSpan w:val="3"/>
            <w:tcBorders>
              <w:top w:val="single" w:color="000000" w:sz="8" w:space="0"/>
              <w:left w:val="single" w:color="000000" w:sz="8" w:space="0"/>
              <w:bottom w:val="single" w:color="000000" w:sz="8" w:space="0"/>
              <w:right w:val="single" w:color="000000" w:sz="8" w:space="0"/>
            </w:tcBorders>
            <w:shd w:val="clear" w:color="auto" w:fill="FFFFFF"/>
          </w:tcPr>
          <w:p w14:paraId="3DC8B560">
            <w:pPr>
              <w:widowControl/>
              <w:jc w:val="left"/>
              <w:textAlignment w:val="top"/>
              <w:rPr>
                <w:rFonts w:hint="default" w:ascii="宋体" w:hAnsi="宋体" w:eastAsia="宋体" w:cs="宋体"/>
                <w:color w:val="auto"/>
                <w:kern w:val="0"/>
                <w:sz w:val="28"/>
                <w:szCs w:val="28"/>
                <w:lang w:val="en-US" w:eastAsia="zh-CN" w:bidi="ar"/>
              </w:rPr>
            </w:pPr>
            <w:r>
              <w:rPr>
                <w:rFonts w:hint="eastAsia" w:ascii="宋体" w:hAnsi="宋体" w:cs="宋体"/>
                <w:color w:val="auto"/>
                <w:kern w:val="0"/>
                <w:sz w:val="28"/>
                <w:szCs w:val="28"/>
                <w:lang w:bidi="ar"/>
              </w:rPr>
              <w:t>申购名称：</w:t>
            </w:r>
            <w:r>
              <w:rPr>
                <w:rFonts w:hint="eastAsia" w:ascii="Times New Roman" w:hAnsi="Times New Roman"/>
                <w:color w:val="auto"/>
                <w:kern w:val="0"/>
                <w:sz w:val="28"/>
                <w:szCs w:val="28"/>
                <w:lang w:bidi="ar"/>
              </w:rPr>
              <w:t>电子票据跨省报销和自动核销改造服务</w:t>
            </w:r>
            <w:r>
              <w:rPr>
                <w:rFonts w:hint="eastAsia" w:ascii="宋体" w:hAnsi="宋体" w:cs="宋体"/>
                <w:color w:val="auto"/>
                <w:kern w:val="0"/>
                <w:sz w:val="28"/>
                <w:szCs w:val="28"/>
                <w:lang w:bidi="ar"/>
              </w:rPr>
              <w:t xml:space="preserve">  </w:t>
            </w:r>
            <w:r>
              <w:rPr>
                <w:rFonts w:hint="eastAsia" w:ascii="宋体" w:hAnsi="宋体" w:cs="宋体"/>
                <w:color w:val="auto"/>
                <w:kern w:val="0"/>
                <w:sz w:val="28"/>
                <w:szCs w:val="28"/>
                <w:lang w:val="en-US" w:eastAsia="zh-CN" w:bidi="ar"/>
              </w:rPr>
              <w:t xml:space="preserve">     </w:t>
            </w:r>
            <w:r>
              <w:rPr>
                <w:rFonts w:hint="eastAsia" w:ascii="宋体" w:hAnsi="宋体" w:cs="宋体"/>
                <w:color w:val="auto"/>
                <w:kern w:val="0"/>
                <w:sz w:val="28"/>
                <w:szCs w:val="28"/>
                <w:lang w:bidi="ar"/>
              </w:rPr>
              <w:t>数  量：</w:t>
            </w:r>
            <w:r>
              <w:rPr>
                <w:rFonts w:hint="eastAsia" w:ascii="宋体" w:hAnsi="宋体" w:cs="宋体"/>
                <w:color w:val="auto"/>
                <w:kern w:val="0"/>
                <w:sz w:val="28"/>
                <w:szCs w:val="28"/>
                <w:lang w:val="en-US" w:eastAsia="zh-CN" w:bidi="ar"/>
              </w:rPr>
              <w:t>1项</w:t>
            </w:r>
          </w:p>
        </w:tc>
      </w:tr>
      <w:tr w14:paraId="72E0F821">
        <w:tblPrEx>
          <w:tblCellMar>
            <w:top w:w="0" w:type="dxa"/>
            <w:left w:w="108" w:type="dxa"/>
            <w:bottom w:w="0" w:type="dxa"/>
            <w:right w:w="108" w:type="dxa"/>
          </w:tblCellMar>
        </w:tblPrEx>
        <w:trPr>
          <w:trHeight w:val="687" w:hRule="atLeast"/>
        </w:trPr>
        <w:tc>
          <w:tcPr>
            <w:tcW w:w="8943" w:type="dxa"/>
            <w:gridSpan w:val="3"/>
            <w:tcBorders>
              <w:top w:val="single" w:color="000000" w:sz="8" w:space="0"/>
              <w:left w:val="single" w:color="000000" w:sz="8" w:space="0"/>
              <w:bottom w:val="single" w:color="000000" w:sz="8" w:space="0"/>
              <w:right w:val="single" w:color="000000" w:sz="8" w:space="0"/>
            </w:tcBorders>
            <w:shd w:val="clear" w:color="auto" w:fill="FFFFFF"/>
          </w:tcPr>
          <w:p w14:paraId="1024C1E4">
            <w:pPr>
              <w:pStyle w:val="10"/>
              <w:shd w:val="clear" w:color="auto" w:fill="FFFFFF"/>
              <w:spacing w:beforeAutospacing="0" w:afterAutospacing="0" w:line="560" w:lineRule="exact"/>
              <w:rPr>
                <w:rFonts w:hint="eastAsia" w:ascii="宋体" w:hAnsi="宋体" w:cs="宋体"/>
                <w:color w:val="000000"/>
                <w:sz w:val="28"/>
                <w:szCs w:val="28"/>
                <w:lang w:bidi="ar"/>
              </w:rPr>
            </w:pPr>
            <w:r>
              <w:rPr>
                <w:rFonts w:hint="eastAsia" w:ascii="宋体" w:hAnsi="宋体" w:cs="宋体"/>
                <w:color w:val="000000"/>
                <w:sz w:val="28"/>
                <w:szCs w:val="28"/>
                <w:lang w:bidi="ar"/>
              </w:rPr>
              <w:t>具体需求描述：</w:t>
            </w:r>
          </w:p>
          <w:p w14:paraId="03AAC9D2">
            <w:pPr>
              <w:pStyle w:val="10"/>
              <w:shd w:val="clear" w:color="auto" w:fill="FFFFFF"/>
              <w:spacing w:beforeAutospacing="0" w:afterAutospacing="0" w:line="560" w:lineRule="exact"/>
              <w:ind w:firstLine="560" w:firstLineChars="200"/>
              <w:rPr>
                <w:rFonts w:hint="eastAsia" w:ascii="宋体" w:hAnsi="宋体" w:cs="宋体"/>
                <w:color w:val="000000"/>
                <w:sz w:val="28"/>
                <w:szCs w:val="28"/>
                <w:lang w:bidi="ar"/>
              </w:rPr>
            </w:pPr>
            <w:r>
              <w:rPr>
                <w:rFonts w:hint="eastAsia" w:ascii="宋体" w:hAnsi="宋体" w:cs="宋体"/>
                <w:color w:val="000000"/>
                <w:sz w:val="28"/>
                <w:szCs w:val="28"/>
                <w:lang w:val="en-US" w:eastAsia="zh-CN" w:bidi="ar"/>
              </w:rPr>
              <w:t>按照财政部、四川省财政厅、成都市财政局关于财政电子票据管理改革的相关文件要求及行业规范，申请实施医疗电子票据系统升级改造。</w:t>
            </w:r>
            <w:r>
              <w:rPr>
                <w:rFonts w:hint="eastAsia" w:ascii="宋体" w:hAnsi="宋体" w:cs="宋体"/>
                <w:color w:val="000000"/>
                <w:sz w:val="28"/>
                <w:szCs w:val="28"/>
                <w:lang w:bidi="ar"/>
              </w:rPr>
              <w:t>确保我院能够合规、安全、高效地开具、核销电子票据，保障收费、医保结算等核心业务正常运转。</w:t>
            </w:r>
          </w:p>
          <w:p w14:paraId="0BB0A3D0">
            <w:pPr>
              <w:pStyle w:val="10"/>
              <w:shd w:val="clear" w:color="auto" w:fill="FFFFFF"/>
              <w:spacing w:beforeAutospacing="0" w:afterAutospacing="0" w:line="560" w:lineRule="exact"/>
              <w:rPr>
                <w:rFonts w:hint="eastAsia" w:ascii="宋体" w:hAnsi="宋体" w:cs="宋体"/>
                <w:b/>
                <w:bCs/>
                <w:color w:val="000000"/>
                <w:sz w:val="28"/>
                <w:szCs w:val="28"/>
                <w:lang w:bidi="ar"/>
              </w:rPr>
            </w:pPr>
            <w:r>
              <w:rPr>
                <w:rFonts w:hint="eastAsia" w:ascii="宋体" w:hAnsi="宋体" w:cs="宋体"/>
                <w:b/>
                <w:bCs/>
                <w:color w:val="000000"/>
                <w:sz w:val="28"/>
                <w:szCs w:val="28"/>
                <w:lang w:bidi="ar"/>
              </w:rPr>
              <w:t>一、采购背景与必要性</w:t>
            </w:r>
          </w:p>
          <w:p w14:paraId="530701A3">
            <w:pPr>
              <w:pStyle w:val="10"/>
              <w:shd w:val="clear" w:color="auto" w:fill="FFFFFF"/>
              <w:spacing w:beforeAutospacing="0" w:afterAutospacing="0" w:line="560" w:lineRule="exact"/>
              <w:ind w:firstLine="560" w:firstLineChars="200"/>
              <w:rPr>
                <w:rFonts w:hint="eastAsia" w:ascii="宋体" w:hAnsi="宋体" w:cs="宋体"/>
                <w:color w:val="000000"/>
                <w:sz w:val="28"/>
                <w:szCs w:val="28"/>
                <w:lang w:bidi="ar"/>
              </w:rPr>
            </w:pPr>
            <w:r>
              <w:rPr>
                <w:rFonts w:hint="eastAsia" w:ascii="宋体" w:hAnsi="宋体" w:cs="宋体"/>
                <w:color w:val="000000"/>
                <w:sz w:val="28"/>
                <w:szCs w:val="28"/>
                <w:lang w:bidi="ar"/>
              </w:rPr>
              <w:t>政策合规性：财政部明确要求全面推行财政电子票据跨省报销，实现全国互认、跨省查验、报销锁定、信息反馈闭环管理。四川省、成都市要求2026年3月底前完成系统改造，4月起全面推广，7月起执行电子票据自动核销。未按要求改造将违反财政票据管理规定，面临监管处罚、票据停发等问题。</w:t>
            </w:r>
          </w:p>
          <w:p w14:paraId="7E473E81">
            <w:pPr>
              <w:pStyle w:val="10"/>
              <w:shd w:val="clear" w:color="auto" w:fill="FFFFFF"/>
              <w:spacing w:beforeAutospacing="0" w:afterAutospacing="0" w:line="560" w:lineRule="exact"/>
              <w:ind w:firstLine="560" w:firstLineChars="200"/>
              <w:rPr>
                <w:rFonts w:ascii="宋体" w:hAnsi="宋体" w:cs="宋体"/>
                <w:color w:val="000000"/>
                <w:sz w:val="28"/>
                <w:szCs w:val="28"/>
                <w:lang w:bidi="ar"/>
              </w:rPr>
            </w:pPr>
            <w:r>
              <w:rPr>
                <w:rFonts w:hint="eastAsia" w:ascii="宋体" w:hAnsi="宋体" w:cs="宋体"/>
                <w:color w:val="000000"/>
                <w:sz w:val="28"/>
                <w:szCs w:val="28"/>
                <w:lang w:bidi="ar"/>
              </w:rPr>
              <w:t>业务保障性：医疗电子票据已全面替代纸质票据，医院必须完成系统升级，否则将无法正常开具、核销票据，影响医保结算与日常收费，降低患者满意度。系统不达标还将导致重复报销、票据违规使用、账务混乱等隐患。</w:t>
            </w:r>
          </w:p>
          <w:p w14:paraId="73016862">
            <w:pPr>
              <w:pStyle w:val="10"/>
              <w:shd w:val="clear" w:color="auto" w:fill="FFFFFF"/>
              <w:spacing w:beforeAutospacing="0" w:afterAutospacing="0" w:line="560" w:lineRule="exact"/>
              <w:ind w:firstLine="560" w:firstLineChars="200"/>
              <w:rPr>
                <w:rFonts w:hint="eastAsia" w:ascii="宋体" w:hAnsi="宋体" w:cs="宋体"/>
                <w:color w:val="000000"/>
                <w:sz w:val="28"/>
                <w:szCs w:val="28"/>
                <w:lang w:bidi="ar"/>
              </w:rPr>
            </w:pPr>
            <w:r>
              <w:rPr>
                <w:rFonts w:hint="eastAsia" w:ascii="宋体" w:hAnsi="宋体" w:cs="宋体"/>
                <w:color w:val="000000"/>
                <w:sz w:val="28"/>
                <w:szCs w:val="28"/>
                <w:lang w:bidi="ar"/>
              </w:rPr>
              <w:t>技术标准更新：原有票据接口、数据规范已升级至2.0版本，新增字段校验、状态查询、冲红锁定、智能监管等功能，现有系统无法满足新要求，必须进行系统升级改造。</w:t>
            </w:r>
          </w:p>
          <w:p w14:paraId="0D586E72">
            <w:pPr>
              <w:pStyle w:val="10"/>
              <w:shd w:val="clear" w:color="auto" w:fill="FFFFFF"/>
              <w:spacing w:beforeAutospacing="0" w:afterAutospacing="0" w:line="560" w:lineRule="exact"/>
              <w:ind w:firstLine="560" w:firstLineChars="200"/>
              <w:rPr>
                <w:rFonts w:hint="eastAsia" w:ascii="宋体" w:hAnsi="宋体" w:cs="宋体"/>
                <w:color w:val="000000"/>
                <w:sz w:val="28"/>
                <w:szCs w:val="28"/>
                <w:lang w:bidi="ar"/>
              </w:rPr>
            </w:pPr>
            <w:r>
              <w:rPr>
                <w:rFonts w:hint="eastAsia" w:ascii="宋体" w:hAnsi="宋体" w:cs="宋体"/>
                <w:color w:val="000000"/>
                <w:sz w:val="28"/>
                <w:szCs w:val="28"/>
                <w:lang w:bidi="ar"/>
              </w:rPr>
              <w:t>便民利民：电子票据全国通用，外地患者跨省报销无需跑腿，自动核销替代人工操作，降低财务人员工作负担，提升医院服务水平，完善医院信息化建设，适配数字政府与智慧医院发展要求。</w:t>
            </w:r>
          </w:p>
          <w:p w14:paraId="39062922">
            <w:pPr>
              <w:pStyle w:val="10"/>
              <w:shd w:val="clear" w:color="auto" w:fill="FFFFFF"/>
              <w:spacing w:beforeAutospacing="0" w:afterAutospacing="0" w:line="560" w:lineRule="exact"/>
              <w:ind w:firstLine="560" w:firstLineChars="200"/>
              <w:rPr>
                <w:rFonts w:hint="eastAsia" w:ascii="宋体" w:hAnsi="宋体" w:cs="宋体"/>
                <w:color w:val="000000"/>
                <w:sz w:val="28"/>
                <w:szCs w:val="28"/>
                <w:lang w:bidi="ar"/>
              </w:rPr>
            </w:pPr>
            <w:r>
              <w:rPr>
                <w:rFonts w:hint="eastAsia" w:ascii="宋体" w:hAnsi="宋体" w:cs="宋体"/>
                <w:color w:val="000000"/>
                <w:sz w:val="28"/>
                <w:szCs w:val="28"/>
                <w:lang w:bidi="ar"/>
              </w:rPr>
              <w:t>经济效益：本次升级通过规避合规处罚、保障业务正常运转、降低人工差错，其产生的效益远超投入成本，具有显著的经济合理性。</w:t>
            </w:r>
          </w:p>
          <w:p w14:paraId="34CABEF2">
            <w:pPr>
              <w:pStyle w:val="10"/>
              <w:shd w:val="clear" w:color="auto" w:fill="FFFFFF"/>
              <w:spacing w:beforeAutospacing="0" w:afterAutospacing="0" w:line="560" w:lineRule="exact"/>
              <w:rPr>
                <w:rFonts w:hint="eastAsia" w:ascii="宋体" w:hAnsi="宋体" w:cs="宋体"/>
                <w:b/>
                <w:bCs/>
                <w:color w:val="000000"/>
                <w:sz w:val="28"/>
                <w:szCs w:val="28"/>
                <w:lang w:bidi="ar"/>
              </w:rPr>
            </w:pPr>
            <w:r>
              <w:rPr>
                <w:rFonts w:hint="eastAsia" w:ascii="宋体" w:hAnsi="宋体" w:cs="宋体"/>
                <w:b/>
                <w:bCs/>
                <w:color w:val="000000"/>
                <w:sz w:val="28"/>
                <w:szCs w:val="28"/>
                <w:lang w:bidi="ar"/>
              </w:rPr>
              <w:t>二、采购内容与预算</w:t>
            </w:r>
          </w:p>
          <w:p w14:paraId="6564F5D7">
            <w:pPr>
              <w:pStyle w:val="10"/>
              <w:shd w:val="clear" w:color="auto" w:fill="FFFFFF"/>
              <w:spacing w:beforeAutospacing="0" w:afterAutospacing="0" w:line="560" w:lineRule="exact"/>
              <w:ind w:firstLine="420" w:firstLineChars="150"/>
              <w:rPr>
                <w:rFonts w:hint="eastAsia" w:ascii="宋体" w:hAnsi="宋体" w:cs="宋体"/>
                <w:color w:val="000000"/>
                <w:sz w:val="28"/>
                <w:szCs w:val="28"/>
                <w:lang w:bidi="ar"/>
              </w:rPr>
            </w:pPr>
            <w:r>
              <w:rPr>
                <w:rFonts w:hint="eastAsia" w:ascii="宋体" w:hAnsi="宋体" w:cs="宋体"/>
                <w:color w:val="000000"/>
                <w:sz w:val="28"/>
                <w:szCs w:val="28"/>
                <w:lang w:bidi="ar"/>
              </w:rPr>
              <w:t>本次采购服务，详情如下：</w:t>
            </w:r>
          </w:p>
          <w:p w14:paraId="3445B49E">
            <w:pPr>
              <w:pStyle w:val="17"/>
              <w:spacing w:line="360" w:lineRule="auto"/>
              <w:ind w:firstLine="480"/>
              <w:rPr>
                <w:rFonts w:hint="eastAsia"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val="en-US" w:eastAsia="zh-CN"/>
              </w:rPr>
              <w:t>一</w:t>
            </w:r>
            <w:r>
              <w:rPr>
                <w:rFonts w:hint="eastAsia" w:ascii="宋体" w:hAnsi="宋体" w:eastAsia="宋体"/>
                <w:sz w:val="24"/>
                <w:szCs w:val="24"/>
              </w:rPr>
              <w:t>）系统接口升级改造</w:t>
            </w:r>
          </w:p>
          <w:p w14:paraId="7CE94A52">
            <w:pPr>
              <w:pStyle w:val="17"/>
              <w:spacing w:line="360" w:lineRule="auto"/>
              <w:ind w:firstLine="480"/>
              <w:rPr>
                <w:rFonts w:hint="eastAsia" w:ascii="宋体" w:hAnsi="宋体" w:eastAsia="宋体"/>
                <w:sz w:val="24"/>
                <w:szCs w:val="24"/>
              </w:rPr>
            </w:pPr>
            <w:r>
              <w:rPr>
                <w:rFonts w:hint="eastAsia" w:ascii="宋体" w:hAnsi="宋体" w:eastAsia="宋体"/>
                <w:sz w:val="24"/>
                <w:szCs w:val="24"/>
              </w:rPr>
              <w:t>1.升级门诊、住院、挂号、体检四类电子票据开具接口，适配全国统一数据规范。</w:t>
            </w:r>
          </w:p>
          <w:p w14:paraId="424F22E2">
            <w:pPr>
              <w:pStyle w:val="17"/>
              <w:spacing w:line="360" w:lineRule="auto"/>
              <w:ind w:firstLine="480"/>
              <w:rPr>
                <w:rFonts w:hint="eastAsia" w:ascii="宋体" w:hAnsi="宋体" w:eastAsia="宋体"/>
                <w:sz w:val="24"/>
                <w:szCs w:val="24"/>
              </w:rPr>
            </w:pPr>
            <w:r>
              <w:rPr>
                <w:rFonts w:hint="eastAsia" w:ascii="宋体" w:hAnsi="宋体" w:eastAsia="宋体"/>
                <w:sz w:val="24"/>
                <w:szCs w:val="24"/>
              </w:rPr>
              <w:t>2.新增票据报销状态查询、报销详情查询接口，退费 / 冲红前自动校验是否已报销、已锁定。</w:t>
            </w:r>
          </w:p>
          <w:p w14:paraId="0B19E82F">
            <w:pPr>
              <w:pStyle w:val="17"/>
              <w:spacing w:line="360" w:lineRule="auto"/>
              <w:ind w:firstLine="480"/>
              <w:rPr>
                <w:rFonts w:hint="eastAsia" w:ascii="宋体" w:hAnsi="宋体" w:eastAsia="宋体"/>
                <w:sz w:val="24"/>
                <w:szCs w:val="24"/>
              </w:rPr>
            </w:pPr>
            <w:r>
              <w:rPr>
                <w:rFonts w:hint="eastAsia" w:ascii="宋体" w:hAnsi="宋体" w:eastAsia="宋体"/>
                <w:sz w:val="24"/>
                <w:szCs w:val="24"/>
              </w:rPr>
              <w:t>3.完善冲红锁定、票据解锁功能，防止恶意退费与重复报销。</w:t>
            </w:r>
          </w:p>
          <w:p w14:paraId="260C08E7">
            <w:pPr>
              <w:pStyle w:val="17"/>
              <w:spacing w:line="360" w:lineRule="auto"/>
              <w:ind w:firstLine="480"/>
              <w:rPr>
                <w:rFonts w:hint="eastAsia" w:ascii="宋体" w:hAnsi="宋体" w:eastAsia="宋体"/>
                <w:sz w:val="24"/>
                <w:szCs w:val="24"/>
              </w:rPr>
            </w:pPr>
            <w:r>
              <w:rPr>
                <w:rFonts w:hint="eastAsia" w:ascii="宋体" w:hAnsi="宋体" w:eastAsia="宋体"/>
                <w:sz w:val="24"/>
                <w:szCs w:val="24"/>
              </w:rPr>
              <w:t>4.对接财政公共服务平台，实现票据数据实时上报、状态同步。</w:t>
            </w:r>
          </w:p>
          <w:p w14:paraId="4D8B4648">
            <w:pPr>
              <w:pStyle w:val="17"/>
              <w:spacing w:line="360" w:lineRule="auto"/>
              <w:ind w:firstLine="480"/>
              <w:rPr>
                <w:rFonts w:hint="eastAsia" w:ascii="宋体" w:hAnsi="宋体" w:eastAsia="宋体"/>
                <w:sz w:val="24"/>
                <w:szCs w:val="24"/>
              </w:rPr>
            </w:pPr>
            <w:r>
              <w:rPr>
                <w:rFonts w:hint="eastAsia" w:ascii="宋体" w:hAnsi="宋体" w:eastAsia="宋体"/>
                <w:sz w:val="24"/>
                <w:szCs w:val="24"/>
              </w:rPr>
              <w:t>（二）跨省报销功能落地</w:t>
            </w:r>
          </w:p>
          <w:p w14:paraId="6E7DA472">
            <w:pPr>
              <w:pStyle w:val="17"/>
              <w:spacing w:line="360" w:lineRule="auto"/>
              <w:ind w:firstLine="480"/>
              <w:rPr>
                <w:rFonts w:hint="eastAsia" w:ascii="宋体" w:hAnsi="宋体" w:eastAsia="宋体"/>
                <w:sz w:val="24"/>
                <w:szCs w:val="24"/>
              </w:rPr>
            </w:pPr>
            <w:r>
              <w:rPr>
                <w:rFonts w:hint="eastAsia" w:ascii="宋体" w:hAnsi="宋体" w:eastAsia="宋体"/>
                <w:sz w:val="24"/>
                <w:szCs w:val="24"/>
              </w:rPr>
              <w:t>1.开具符合全国标准的电子票据，支持跨省查验、归集、报销。</w:t>
            </w:r>
          </w:p>
          <w:p w14:paraId="07B7A688">
            <w:pPr>
              <w:pStyle w:val="17"/>
              <w:spacing w:line="360" w:lineRule="auto"/>
              <w:ind w:firstLine="480"/>
              <w:rPr>
                <w:rFonts w:hint="eastAsia" w:ascii="宋体" w:hAnsi="宋体" w:eastAsia="宋体"/>
                <w:sz w:val="24"/>
                <w:szCs w:val="24"/>
              </w:rPr>
            </w:pPr>
            <w:r>
              <w:rPr>
                <w:rFonts w:hint="eastAsia" w:ascii="宋体" w:hAnsi="宋体" w:eastAsia="宋体"/>
                <w:sz w:val="24"/>
                <w:szCs w:val="24"/>
              </w:rPr>
              <w:t>2.收费、退费环节自动校验票据状态，从源头防控风险。</w:t>
            </w:r>
          </w:p>
          <w:p w14:paraId="6E8747AF">
            <w:pPr>
              <w:pStyle w:val="17"/>
              <w:spacing w:line="360" w:lineRule="auto"/>
              <w:ind w:firstLine="480"/>
              <w:rPr>
                <w:rFonts w:hint="eastAsia" w:ascii="宋体" w:hAnsi="宋体" w:eastAsia="宋体"/>
                <w:sz w:val="24"/>
                <w:szCs w:val="24"/>
              </w:rPr>
            </w:pPr>
            <w:r>
              <w:rPr>
                <w:rFonts w:hint="eastAsia" w:ascii="宋体" w:hAnsi="宋体" w:eastAsia="宋体"/>
                <w:sz w:val="24"/>
                <w:szCs w:val="24"/>
              </w:rPr>
              <w:t>3.配合完成票据锁定、信息反馈、异常处理等闭环操作。</w:t>
            </w:r>
          </w:p>
          <w:p w14:paraId="3222A4E8">
            <w:pPr>
              <w:pStyle w:val="17"/>
              <w:spacing w:line="360" w:lineRule="auto"/>
              <w:ind w:firstLine="480"/>
              <w:rPr>
                <w:rFonts w:hint="eastAsia" w:ascii="宋体" w:hAnsi="宋体" w:eastAsia="宋体"/>
                <w:sz w:val="24"/>
                <w:szCs w:val="24"/>
              </w:rPr>
            </w:pPr>
            <w:r>
              <w:rPr>
                <w:rFonts w:hint="eastAsia" w:ascii="宋体" w:hAnsi="宋体" w:eastAsia="宋体"/>
                <w:sz w:val="24"/>
                <w:szCs w:val="24"/>
              </w:rPr>
              <w:t>（三）自动核销与智能监管</w:t>
            </w:r>
          </w:p>
          <w:p w14:paraId="2D8C23E7">
            <w:pPr>
              <w:pStyle w:val="17"/>
              <w:spacing w:line="360" w:lineRule="auto"/>
              <w:ind w:firstLine="480"/>
              <w:rPr>
                <w:rFonts w:hint="eastAsia" w:ascii="宋体" w:hAnsi="宋体" w:eastAsia="宋体"/>
                <w:sz w:val="24"/>
                <w:szCs w:val="24"/>
              </w:rPr>
            </w:pPr>
            <w:r>
              <w:rPr>
                <w:rFonts w:hint="eastAsia" w:ascii="宋体" w:hAnsi="宋体" w:eastAsia="宋体"/>
                <w:sz w:val="24"/>
                <w:szCs w:val="24"/>
              </w:rPr>
              <w:t>1.按财政规则完成票据自动核销，实现核旧领新。</w:t>
            </w:r>
          </w:p>
          <w:p w14:paraId="3ECA308A">
            <w:pPr>
              <w:pStyle w:val="17"/>
              <w:spacing w:line="360" w:lineRule="auto"/>
              <w:ind w:firstLine="480"/>
              <w:rPr>
                <w:rFonts w:hint="eastAsia" w:ascii="宋体" w:hAnsi="宋体" w:eastAsia="宋体"/>
                <w:sz w:val="24"/>
                <w:szCs w:val="24"/>
              </w:rPr>
            </w:pPr>
            <w:r>
              <w:rPr>
                <w:rFonts w:hint="eastAsia" w:ascii="宋体" w:hAnsi="宋体" w:eastAsia="宋体"/>
                <w:sz w:val="24"/>
                <w:szCs w:val="24"/>
              </w:rPr>
              <w:t>2.接收财政监管预警，及时处理异常票据、违规票据整改。</w:t>
            </w:r>
          </w:p>
          <w:p w14:paraId="0F6272E3">
            <w:pPr>
              <w:pStyle w:val="17"/>
              <w:spacing w:line="360" w:lineRule="auto"/>
              <w:ind w:firstLine="480"/>
              <w:rPr>
                <w:rFonts w:hint="eastAsia" w:ascii="宋体" w:hAnsi="宋体" w:eastAsia="宋体"/>
                <w:sz w:val="24"/>
                <w:szCs w:val="24"/>
              </w:rPr>
            </w:pPr>
            <w:r>
              <w:rPr>
                <w:rFonts w:hint="eastAsia" w:ascii="宋体" w:hAnsi="宋体" w:eastAsia="宋体"/>
                <w:sz w:val="24"/>
                <w:szCs w:val="24"/>
              </w:rPr>
              <w:t>3.建立票据复核、开票双人审核机制，满足财政校验要求。</w:t>
            </w:r>
          </w:p>
          <w:p w14:paraId="614E16C7">
            <w:pPr>
              <w:pStyle w:val="17"/>
              <w:spacing w:line="360" w:lineRule="auto"/>
              <w:ind w:firstLine="480"/>
              <w:rPr>
                <w:rFonts w:hint="eastAsia" w:ascii="宋体" w:hAnsi="宋体" w:eastAsia="宋体"/>
                <w:sz w:val="24"/>
                <w:szCs w:val="24"/>
              </w:rPr>
            </w:pPr>
            <w:r>
              <w:rPr>
                <w:rFonts w:hint="eastAsia" w:ascii="宋体" w:hAnsi="宋体" w:eastAsia="宋体"/>
                <w:sz w:val="24"/>
                <w:szCs w:val="24"/>
              </w:rPr>
              <w:t>（四）日常运维与保障</w:t>
            </w:r>
            <w:bookmarkStart w:id="0" w:name="_GoBack"/>
            <w:bookmarkEnd w:id="0"/>
          </w:p>
          <w:p w14:paraId="176CC87E">
            <w:pPr>
              <w:pStyle w:val="17"/>
              <w:spacing w:line="360" w:lineRule="auto"/>
              <w:ind w:firstLine="480"/>
              <w:rPr>
                <w:rFonts w:hint="eastAsia" w:ascii="宋体" w:hAnsi="宋体" w:eastAsia="宋体"/>
                <w:sz w:val="24"/>
                <w:szCs w:val="24"/>
              </w:rPr>
            </w:pPr>
            <w:r>
              <w:rPr>
                <w:rFonts w:hint="eastAsia" w:ascii="宋体" w:hAnsi="宋体" w:eastAsia="宋体"/>
                <w:sz w:val="24"/>
                <w:szCs w:val="24"/>
              </w:rPr>
              <w:t>1.7×24 小时系统运行保障，确保收费、开票、结算不间断。</w:t>
            </w:r>
          </w:p>
          <w:p w14:paraId="2D019F28">
            <w:pPr>
              <w:pStyle w:val="17"/>
              <w:spacing w:line="360" w:lineRule="auto"/>
              <w:ind w:firstLine="480"/>
              <w:rPr>
                <w:rFonts w:hint="eastAsia" w:ascii="宋体" w:hAnsi="宋体" w:eastAsia="宋体"/>
                <w:sz w:val="24"/>
                <w:szCs w:val="24"/>
              </w:rPr>
            </w:pPr>
            <w:r>
              <w:rPr>
                <w:rFonts w:hint="eastAsia" w:ascii="宋体" w:hAnsi="宋体" w:eastAsia="宋体"/>
                <w:sz w:val="24"/>
                <w:szCs w:val="24"/>
              </w:rPr>
              <w:t>2.财务、收费人员操作培训，熟练使用新功能。</w:t>
            </w:r>
          </w:p>
          <w:p w14:paraId="0C71C225">
            <w:pPr>
              <w:pStyle w:val="17"/>
              <w:spacing w:line="360" w:lineRule="auto"/>
              <w:ind w:firstLine="480"/>
              <w:rPr>
                <w:rFonts w:hint="eastAsia" w:ascii="宋体" w:hAnsi="宋体" w:eastAsia="宋体"/>
                <w:sz w:val="24"/>
                <w:szCs w:val="24"/>
                <w:lang w:val="en-US" w:eastAsia="zh-CN"/>
              </w:rPr>
            </w:pPr>
            <w:r>
              <w:rPr>
                <w:rFonts w:hint="eastAsia" w:ascii="宋体" w:hAnsi="宋体" w:eastAsia="宋体"/>
                <w:sz w:val="24"/>
                <w:szCs w:val="24"/>
              </w:rPr>
              <w:t>3.配合财政部门联调测</w:t>
            </w:r>
            <w:r>
              <w:rPr>
                <w:rFonts w:hint="eastAsia" w:ascii="宋体" w:hAnsi="宋体" w:eastAsia="宋体"/>
                <w:sz w:val="24"/>
                <w:szCs w:val="24"/>
                <w:lang w:val="en-US" w:eastAsia="zh-CN"/>
              </w:rPr>
              <w:t>试上线。</w:t>
            </w:r>
          </w:p>
          <w:p w14:paraId="341D619D">
            <w:pPr>
              <w:pStyle w:val="17"/>
              <w:spacing w:line="360" w:lineRule="auto"/>
              <w:ind w:firstLine="480"/>
              <w:rPr>
                <w:rFonts w:hint="eastAsia" w:ascii="宋体" w:hAnsi="宋体" w:eastAsia="宋体"/>
                <w:sz w:val="24"/>
                <w:szCs w:val="24"/>
                <w:lang w:val="en-US" w:eastAsia="zh-CN"/>
              </w:rPr>
            </w:pPr>
          </w:p>
          <w:p w14:paraId="746B0F8E">
            <w:pPr>
              <w:pStyle w:val="10"/>
              <w:shd w:val="clear" w:color="auto" w:fill="FFFFFF"/>
              <w:spacing w:beforeAutospacing="0" w:afterAutospacing="0" w:line="560" w:lineRule="exact"/>
              <w:ind w:firstLine="560" w:firstLineChars="200"/>
              <w:rPr>
                <w:rFonts w:hint="eastAsia" w:ascii="宋体" w:hAnsi="宋体" w:cs="宋体"/>
                <w:color w:val="000000"/>
                <w:sz w:val="28"/>
                <w:szCs w:val="28"/>
              </w:rPr>
            </w:pPr>
            <w:r>
              <w:rPr>
                <w:rFonts w:ascii="Times New Roman" w:hAnsi="Times New Roman" w:eastAsia="宋体" w:cs="Times New Roman"/>
                <w:color w:val="000000"/>
                <w:kern w:val="0"/>
                <w:sz w:val="28"/>
                <w:szCs w:val="28"/>
                <w:lang w:val="en-US" w:eastAsia="zh-CN" w:bidi="ar"/>
              </w:rPr>
              <w:t>基于当前市场行情，初步估算</w:t>
            </w:r>
            <w:r>
              <w:rPr>
                <w:rFonts w:hint="eastAsia" w:ascii="Times New Roman" w:hAnsi="Times New Roman" w:cs="Times New Roman"/>
                <w:color w:val="000000"/>
                <w:kern w:val="0"/>
                <w:sz w:val="28"/>
                <w:szCs w:val="28"/>
                <w:lang w:val="en-US" w:eastAsia="zh-CN" w:bidi="ar"/>
              </w:rPr>
              <w:t>约</w:t>
            </w:r>
            <w:r>
              <w:rPr>
                <w:rFonts w:ascii="Times New Roman" w:hAnsi="Times New Roman" w:eastAsia="宋体" w:cs="Times New Roman"/>
                <w:color w:val="000000"/>
                <w:kern w:val="0"/>
                <w:sz w:val="28"/>
                <w:szCs w:val="28"/>
                <w:lang w:val="en-US" w:eastAsia="zh-CN" w:bidi="ar"/>
              </w:rPr>
              <w:t>为</w:t>
            </w:r>
            <w:r>
              <w:rPr>
                <w:rFonts w:hint="eastAsia" w:ascii="Times New Roman" w:hAnsi="Times New Roman" w:eastAsia="宋体" w:cs="Times New Roman"/>
                <w:color w:val="000000"/>
                <w:kern w:val="0"/>
                <w:sz w:val="28"/>
                <w:szCs w:val="28"/>
                <w:lang w:val="en-US" w:eastAsia="zh-CN" w:bidi="ar"/>
              </w:rPr>
              <w:t>150000元</w:t>
            </w:r>
            <w:r>
              <w:rPr>
                <w:rFonts w:ascii="Times New Roman" w:hAnsi="Times New Roman" w:eastAsia="宋体" w:cs="Times New Roman"/>
                <w:color w:val="000000"/>
                <w:kern w:val="0"/>
                <w:sz w:val="28"/>
                <w:szCs w:val="28"/>
                <w:lang w:val="en-US" w:eastAsia="zh-CN" w:bidi="ar"/>
              </w:rPr>
              <w:t>。最终金额以实际招标或谈判结果为准。</w:t>
            </w:r>
          </w:p>
        </w:tc>
      </w:tr>
      <w:tr w14:paraId="2954997C">
        <w:tblPrEx>
          <w:tblCellMar>
            <w:top w:w="0" w:type="dxa"/>
            <w:left w:w="108" w:type="dxa"/>
            <w:bottom w:w="0" w:type="dxa"/>
            <w:right w:w="108" w:type="dxa"/>
          </w:tblCellMar>
        </w:tblPrEx>
        <w:trPr>
          <w:trHeight w:val="638" w:hRule="atLeast"/>
        </w:trPr>
        <w:tc>
          <w:tcPr>
            <w:tcW w:w="8943"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375738C6">
            <w:pPr>
              <w:rPr>
                <w:color w:val="000000"/>
                <w:sz w:val="28"/>
                <w:szCs w:val="28"/>
              </w:rPr>
            </w:pPr>
            <w:r>
              <w:rPr>
                <w:rFonts w:hint="eastAsia" w:ascii="仿宋_GB2312" w:hAnsi="仿宋_GB2312" w:eastAsia="仿宋_GB2312" w:cs="仿宋_GB2312"/>
                <w:color w:val="000000"/>
                <w:kern w:val="0"/>
                <w:sz w:val="28"/>
                <w:szCs w:val="28"/>
                <w:lang w:bidi="ar"/>
              </w:rPr>
              <w:t>申购科室/部门负责人签字:</w:t>
            </w:r>
          </w:p>
        </w:tc>
      </w:tr>
    </w:tbl>
    <w:p w14:paraId="363DD0C2">
      <w:pPr>
        <w:rPr>
          <w:rFonts w:hint="eastAsia" w:ascii="仿宋_GB2312" w:hAnsi="仿宋_GB2312" w:eastAsia="仿宋_GB2312" w:cs="仿宋_GB2312"/>
          <w:b/>
          <w:bCs/>
          <w:color w:val="000000"/>
          <w:kern w:val="0"/>
          <w:sz w:val="24"/>
          <w:lang w:eastAsia="zh-CN" w:bidi="ar"/>
        </w:rPr>
      </w:pPr>
    </w:p>
    <w:sectPr>
      <w:pgSz w:w="11906" w:h="16838"/>
      <w:pgMar w:top="1440" w:right="1800" w:bottom="898"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1OGM5M2Q1ODVhODI3NTU3NjdlODZkYTBlMmE1NTEifQ=="/>
  </w:docVars>
  <w:rsids>
    <w:rsidRoot w:val="20836867"/>
    <w:rsid w:val="00024265"/>
    <w:rsid w:val="00230ADC"/>
    <w:rsid w:val="003400C3"/>
    <w:rsid w:val="0034439B"/>
    <w:rsid w:val="00552334"/>
    <w:rsid w:val="00577580"/>
    <w:rsid w:val="005A42BF"/>
    <w:rsid w:val="006219EC"/>
    <w:rsid w:val="00880767"/>
    <w:rsid w:val="00897320"/>
    <w:rsid w:val="009205CB"/>
    <w:rsid w:val="009D071F"/>
    <w:rsid w:val="00B441DD"/>
    <w:rsid w:val="00C61B5F"/>
    <w:rsid w:val="00CA47EF"/>
    <w:rsid w:val="00CB5E29"/>
    <w:rsid w:val="00CB7D01"/>
    <w:rsid w:val="00D0061E"/>
    <w:rsid w:val="00D22029"/>
    <w:rsid w:val="00D24972"/>
    <w:rsid w:val="00E14A2D"/>
    <w:rsid w:val="00E85BE2"/>
    <w:rsid w:val="00ED70A1"/>
    <w:rsid w:val="00FA6E17"/>
    <w:rsid w:val="00FB0D1C"/>
    <w:rsid w:val="00FB0D2B"/>
    <w:rsid w:val="01E70A9E"/>
    <w:rsid w:val="02757438"/>
    <w:rsid w:val="0348159A"/>
    <w:rsid w:val="03A34A22"/>
    <w:rsid w:val="061B7490"/>
    <w:rsid w:val="06530982"/>
    <w:rsid w:val="069D1BFD"/>
    <w:rsid w:val="091A7535"/>
    <w:rsid w:val="0A60541B"/>
    <w:rsid w:val="0A85459D"/>
    <w:rsid w:val="0BEC5699"/>
    <w:rsid w:val="0DC43F13"/>
    <w:rsid w:val="105C75E2"/>
    <w:rsid w:val="10963D8A"/>
    <w:rsid w:val="11203B56"/>
    <w:rsid w:val="114A2981"/>
    <w:rsid w:val="13207E3D"/>
    <w:rsid w:val="160F0985"/>
    <w:rsid w:val="18121ADD"/>
    <w:rsid w:val="185B5E04"/>
    <w:rsid w:val="18814EDA"/>
    <w:rsid w:val="1A78230D"/>
    <w:rsid w:val="1AD03EF7"/>
    <w:rsid w:val="1CF700FB"/>
    <w:rsid w:val="1D27593E"/>
    <w:rsid w:val="1E973175"/>
    <w:rsid w:val="1EE852D0"/>
    <w:rsid w:val="1F1E1552"/>
    <w:rsid w:val="20836867"/>
    <w:rsid w:val="20CA13E8"/>
    <w:rsid w:val="23A115E9"/>
    <w:rsid w:val="250B2B2B"/>
    <w:rsid w:val="254D31FC"/>
    <w:rsid w:val="25504C82"/>
    <w:rsid w:val="25747800"/>
    <w:rsid w:val="27871DE1"/>
    <w:rsid w:val="28A32C4B"/>
    <w:rsid w:val="29BC04E7"/>
    <w:rsid w:val="2A167421"/>
    <w:rsid w:val="2A651225"/>
    <w:rsid w:val="2A930540"/>
    <w:rsid w:val="2B0100FD"/>
    <w:rsid w:val="2B211492"/>
    <w:rsid w:val="2C6F142D"/>
    <w:rsid w:val="2CC412A3"/>
    <w:rsid w:val="2CF404D0"/>
    <w:rsid w:val="2DD35D80"/>
    <w:rsid w:val="2F376351"/>
    <w:rsid w:val="302A46B6"/>
    <w:rsid w:val="31511709"/>
    <w:rsid w:val="3153289F"/>
    <w:rsid w:val="325B6344"/>
    <w:rsid w:val="3328091C"/>
    <w:rsid w:val="344201F9"/>
    <w:rsid w:val="353A5BA6"/>
    <w:rsid w:val="35D563B7"/>
    <w:rsid w:val="39972358"/>
    <w:rsid w:val="3B1D688D"/>
    <w:rsid w:val="3B8B3E2A"/>
    <w:rsid w:val="3BB572D0"/>
    <w:rsid w:val="3D7B3D3F"/>
    <w:rsid w:val="3E833256"/>
    <w:rsid w:val="3F006527"/>
    <w:rsid w:val="400C51E4"/>
    <w:rsid w:val="41032081"/>
    <w:rsid w:val="41A80AFE"/>
    <w:rsid w:val="42E74C2F"/>
    <w:rsid w:val="43191548"/>
    <w:rsid w:val="44C91833"/>
    <w:rsid w:val="451B2E03"/>
    <w:rsid w:val="453D377D"/>
    <w:rsid w:val="46C16C66"/>
    <w:rsid w:val="49B52386"/>
    <w:rsid w:val="4A591364"/>
    <w:rsid w:val="4AE17330"/>
    <w:rsid w:val="4AF76A64"/>
    <w:rsid w:val="4D177232"/>
    <w:rsid w:val="4D7E765F"/>
    <w:rsid w:val="4D985BB9"/>
    <w:rsid w:val="4DEA05AB"/>
    <w:rsid w:val="4E092CA1"/>
    <w:rsid w:val="4F2A1121"/>
    <w:rsid w:val="4F3B1292"/>
    <w:rsid w:val="4F493E48"/>
    <w:rsid w:val="50B44F3D"/>
    <w:rsid w:val="50C0378A"/>
    <w:rsid w:val="50D3445C"/>
    <w:rsid w:val="50EC2B32"/>
    <w:rsid w:val="52B21B59"/>
    <w:rsid w:val="53117559"/>
    <w:rsid w:val="53672943"/>
    <w:rsid w:val="54AB3A77"/>
    <w:rsid w:val="54BE22F8"/>
    <w:rsid w:val="572528F9"/>
    <w:rsid w:val="57DF0CBD"/>
    <w:rsid w:val="58CB74D0"/>
    <w:rsid w:val="590B3D71"/>
    <w:rsid w:val="593859A0"/>
    <w:rsid w:val="59F34F31"/>
    <w:rsid w:val="5A663955"/>
    <w:rsid w:val="5E4D2736"/>
    <w:rsid w:val="5EEE1E55"/>
    <w:rsid w:val="602D0A71"/>
    <w:rsid w:val="60E43825"/>
    <w:rsid w:val="62572FC4"/>
    <w:rsid w:val="63B23B57"/>
    <w:rsid w:val="63F967D6"/>
    <w:rsid w:val="65403361"/>
    <w:rsid w:val="65CE75CE"/>
    <w:rsid w:val="65FF6A0B"/>
    <w:rsid w:val="66367271"/>
    <w:rsid w:val="66B70EF4"/>
    <w:rsid w:val="66F45E44"/>
    <w:rsid w:val="67581E9B"/>
    <w:rsid w:val="67781E31"/>
    <w:rsid w:val="6864066C"/>
    <w:rsid w:val="689E42BA"/>
    <w:rsid w:val="69977569"/>
    <w:rsid w:val="6BB36C8E"/>
    <w:rsid w:val="6BFA0BFB"/>
    <w:rsid w:val="6C2C1883"/>
    <w:rsid w:val="6ED3097C"/>
    <w:rsid w:val="6F2F210F"/>
    <w:rsid w:val="6FD64C81"/>
    <w:rsid w:val="6FFED1CF"/>
    <w:rsid w:val="7163055D"/>
    <w:rsid w:val="7336405A"/>
    <w:rsid w:val="781529E6"/>
    <w:rsid w:val="789C633C"/>
    <w:rsid w:val="78A3591C"/>
    <w:rsid w:val="78C40020"/>
    <w:rsid w:val="799C2A97"/>
    <w:rsid w:val="7C47199E"/>
    <w:rsid w:val="7F4C3C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Body Text"/>
    <w:basedOn w:val="1"/>
    <w:next w:val="1"/>
    <w:uiPriority w:val="0"/>
    <w:pPr>
      <w:ind w:left="108"/>
    </w:pPr>
    <w:rPr>
      <w:rFonts w:ascii="Times New Roman" w:hAnsi="Times New Roman" w:eastAsia="宋体" w:cs="Times New Roman"/>
      <w:sz w:val="32"/>
      <w:szCs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Body Text 2"/>
    <w:basedOn w:val="1"/>
    <w:next w:val="1"/>
    <w:qFormat/>
    <w:uiPriority w:val="0"/>
    <w:pPr>
      <w:adjustRightInd w:val="0"/>
      <w:snapToGrid w:val="0"/>
      <w:spacing w:line="480" w:lineRule="atLeast"/>
    </w:p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6"/>
    <w:qFormat/>
    <w:uiPriority w:val="0"/>
    <w:pPr>
      <w:widowControl w:val="0"/>
      <w:ind w:firstLine="420" w:firstLineChars="100"/>
    </w:pPr>
    <w:rPr>
      <w:rFonts w:ascii="宋体" w:hAnsi="宋体" w:eastAsia="宋体" w:cs="宋体"/>
      <w:sz w:val="24"/>
      <w:szCs w:val="24"/>
      <w:lang w:val="en-US" w:eastAsia="en-US" w:bidi="ar-SA"/>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paragraph" w:customStyle="1" w:styleId="16">
    <w:name w:val="样式1"/>
    <w:basedOn w:val="1"/>
    <w:qFormat/>
    <w:uiPriority w:val="0"/>
    <w:pPr>
      <w:spacing w:line="360" w:lineRule="auto"/>
      <w:ind w:firstLine="420" w:firstLineChars="200"/>
    </w:pPr>
    <w:rPr>
      <w:rFonts w:hint="eastAsia"/>
    </w:rPr>
  </w:style>
  <w:style w:type="paragraph" w:styleId="17">
    <w:name w:val="List Paragraph"/>
    <w:basedOn w:val="1"/>
    <w:qFormat/>
    <w:uiPriority w:val="34"/>
    <w:pPr>
      <w:ind w:left="720"/>
      <w:contextualSpacing/>
    </w:pPr>
  </w:style>
  <w:style w:type="character" w:customStyle="1" w:styleId="18">
    <w:name w:val="font31"/>
    <w:basedOn w:val="14"/>
    <w:qFormat/>
    <w:uiPriority w:val="0"/>
    <w:rPr>
      <w:rFonts w:hint="default" w:ascii="Times New Roman" w:hAnsi="Times New Roman" w:cs="Times New Roman"/>
      <w:b/>
      <w:bCs/>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1087</Words>
  <Characters>1121</Characters>
  <Lines>96</Lines>
  <Paragraphs>100</Paragraphs>
  <TotalTime>4</TotalTime>
  <ScaleCrop>false</ScaleCrop>
  <LinksUpToDate>false</LinksUpToDate>
  <CharactersWithSpaces>1134</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2024-03-26T16:09:00Z</dcterms:created>
  <dc:creator>Megatron</dc:creator>
  <cp:lastModifiedBy>宋宋宋</cp:lastModifiedBy>
  <cp:lastPrinted>2025-10-13T08:01:00Z</cp:lastPrinted>
  <dcterms:modified xsi:type="dcterms:W3CDTF">2026-05-26T07:15:12Z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E16FC5A75BB34317B0B52F4B7DE88524_13</vt:lpwstr>
  </property>
  <property fmtid="{D5CDD505-2E9C-101B-9397-08002B2CF9AE}" pid="4" name="KSOTemplateDocerSaveRecord">
    <vt:lpwstr>eyJoZGlkIjoiMWM0MDUxZDQ5M2Q1OTcyNjZjZWE2NGU1YTk5MjliZDciLCJ1c2VySWQiOiIyODgyMTg0NjYifQ==</vt:lpwstr>
  </property>
</Properties>
</file>